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Propuesta técnica — LIC-2026-10-009</w:t>
      </w:r>
    </w:p>
    <w:p>
      <w:pPr>
        <w:pStyle w:val="Heading2"/>
      </w:pPr>
      <w:r>
        <w:t>1. Alcance del servicio</w:t>
      </w:r>
    </w:p>
    <w:p>
      <w:r>
        <w:t>— por completar —</w:t>
      </w:r>
    </w:p>
    <w:p>
      <w:pPr>
        <w:pStyle w:val="Heading2"/>
      </w:pPr>
      <w:r>
        <w:t>3. Credenciales corporativas</w:t>
      </w:r>
    </w:p>
    <w:p>
      <w:r>
        <w:rPr>
          <w:b/>
        </w:rPr>
        <w:t>PRESENCIA GLOBAL</w:t>
      </w:r>
    </w:p>
    <w:p>
      <w:r>
        <w:t>Red de aproximadamente 1,600 oficinas y laboratorios en 140 países, con más de 83,000 empleados.</w:t>
      </w:r>
    </w:p>
    <w:p>
      <w:r>
        <w:rPr>
          <w:b/>
        </w:rPr>
        <w:t>SISTEMA DE GESTIÓN Y ACREDITACIONES</w:t>
      </w:r>
    </w:p>
    <w:p>
      <w:r>
        <w:t>Laboratorio acreditado bajo la norma ISO/IEC 17025 (última actualización) y sistema de gestión ISO 9001.</w:t>
      </w:r>
    </w:p>
    <w:p>
      <w:r>
        <w:rPr>
          <w:b/>
        </w:rP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r>
        <w:rPr>
          <w:b/>
        </w:rP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