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Ficha de licitación — LIC-2026-08-005</w:t>
      </w:r>
    </w:p>
    <w:p>
      <w:pPr>
        <w:pStyle w:val="Heading2"/>
      </w:pPr>
      <w:r>
        <w:t>Identificación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Código</w:t>
            </w:r>
          </w:p>
        </w:tc>
        <w:tc>
          <w:tcPr>
            <w:tcW w:type="dxa" w:w="4320"/>
          </w:tcPr>
          <w:p>
            <w:r>
              <w:t>LIC-2026-08-005</w:t>
            </w:r>
          </w:p>
        </w:tc>
      </w:tr>
      <w:tr>
        <w:tc>
          <w:tcPr>
            <w:tcW w:type="dxa" w:w="4320"/>
          </w:tcPr>
          <w:p>
            <w:r>
              <w:t>Cliente</w:t>
            </w:r>
          </w:p>
        </w:tc>
        <w:tc>
          <w:tcPr>
            <w:tcW w:type="dxa" w:w="4320"/>
          </w:tcPr>
          <w:p>
            <w:r>
              <w:t>— sin asignar —</w:t>
            </w:r>
          </w:p>
        </w:tc>
      </w:tr>
      <w:tr>
        <w:tc>
          <w:tcPr>
            <w:tcW w:type="dxa" w:w="4320"/>
          </w:tcPr>
          <w:p>
            <w:r>
              <w:t>Plataforma</w:t>
            </w:r>
          </w:p>
        </w:tc>
        <w:tc>
          <w:tcPr>
            <w:tcW w:type="dxa" w:w="4320"/>
          </w:tcPr>
          <w:p>
            <w:r>
              <w:t>correo</w:t>
            </w:r>
          </w:p>
        </w:tc>
      </w:tr>
      <w:tr>
        <w:tc>
          <w:tcPr>
            <w:tcW w:type="dxa" w:w="4320"/>
          </w:tcPr>
          <w:p>
            <w:r>
              <w:t>Responsable</w:t>
            </w:r>
          </w:p>
        </w:tc>
        <w:tc>
          <w:tcPr>
            <w:tcW w:type="dxa" w:w="4320"/>
          </w:tcPr>
          <w:p>
            <w:r>
              <w:t>Adrian</w:t>
            </w:r>
          </w:p>
        </w:tc>
      </w:tr>
      <w:tr>
        <w:tc>
          <w:tcPr>
            <w:tcW w:type="dxa" w:w="4320"/>
          </w:tcPr>
          <w:p>
            <w:r>
              <w:t>Estado</w:t>
            </w:r>
          </w:p>
        </w:tc>
        <w:tc>
          <w:tcPr>
            <w:tcW w:type="dxa" w:w="4320"/>
          </w:tcPr>
          <w:p>
            <w:r>
              <w:t>en_analisis</w:t>
            </w:r>
          </w:p>
        </w:tc>
      </w:tr>
      <w:tr>
        <w:tc>
          <w:tcPr>
            <w:tcW w:type="dxa" w:w="4320"/>
          </w:tcPr>
          <w:p>
            <w:r>
              <w:t>Fecha de recepción</w:t>
            </w:r>
          </w:p>
        </w:tc>
        <w:tc>
          <w:tcPr>
            <w:tcW w:type="dxa" w:w="4320"/>
          </w:tcPr>
          <w:p>
            <w:r>
              <w:t>2026-08-31</w:t>
            </w:r>
          </w:p>
        </w:tc>
      </w:tr>
    </w:tbl>
    <w:p>
      <w:pPr>
        <w:pStyle w:val="Heading2"/>
      </w:pPr>
      <w:r>
        <w:t>Requerimiento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Servicio</w:t>
            </w:r>
          </w:p>
        </w:tc>
        <w:tc>
          <w:tcPr>
            <w:tcW w:type="dxa" w:w="4320"/>
          </w:tcPr>
          <w:p>
            <w:r>
              <w:t>Análisis de laboratorio especializados: difracción de rayos X (DRX), microscopía electrónica (ME/EDS), análisis fisicoquímicos de muestras de crudo y agua</w:t>
            </w:r>
          </w:p>
        </w:tc>
      </w:tr>
      <w:tr>
        <w:tc>
          <w:tcPr>
            <w:tcW w:type="dxa" w:w="4320"/>
          </w:tcPr>
          <w:p>
            <w:r>
              <w:t>Métodos solicitados</w:t>
            </w:r>
          </w:p>
        </w:tc>
        <w:tc>
          <w:tcPr>
            <w:tcW w:type="dxa" w:w="4320"/>
          </w:tcPr>
          <w:p>
            <w:r>
              <w:t>Difracción de rayos X (DRX), Microscopía electrónica con EDS, análisis fisicoquímicos. Metodología estándar para DRX y EDS. Laboratorio debe estar certificado por INCAL (National Quality Institute, Peru)</w:t>
            </w:r>
          </w:p>
        </w:tc>
      </w:tr>
      <w:tr>
        <w:tc>
          <w:tcPr>
            <w:tcW w:type="dxa" w:w="4320"/>
          </w:tcPr>
          <w:p>
            <w:r>
              <w:t>Cantidades / volumen</w:t>
            </w:r>
          </w:p>
        </w:tc>
        <w:tc>
          <w:tcPr>
            <w:tcW w:type="dxa" w:w="4320"/>
          </w:tcPr>
          <w:p>
            <w:r>
              <w:t>1 a 4 análisis anuales. Muestra referencial: 3-5 gramos por análisis</w:t>
            </w:r>
          </w:p>
        </w:tc>
      </w:tr>
      <w:tr>
        <w:tc>
          <w:tcPr>
            <w:tcW w:type="dxa" w:w="4320"/>
          </w:tcPr>
          <w:p>
            <w:r>
              <w:t>Analitos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  <w:tr>
        <w:tc>
          <w:tcPr>
            <w:tcW w:type="dxa" w:w="4320"/>
          </w:tcPr>
          <w:p>
            <w:r>
              <w:t>TAT</w:t>
            </w:r>
          </w:p>
        </w:tc>
        <w:tc>
          <w:tcPr>
            <w:tcW w:type="dxa" w:w="4320"/>
          </w:tcPr>
          <w:p>
            <w:r>
              <w:t>15-20 días</w:t>
            </w:r>
          </w:p>
        </w:tc>
      </w:tr>
      <w:tr>
        <w:tc>
          <w:tcPr>
            <w:tcW w:type="dxa" w:w="4320"/>
          </w:tcPr>
          <w:p>
            <w:r>
              <w:t>Límites de detección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  <w:tr>
        <w:tc>
          <w:tcPr>
            <w:tcW w:type="dxa" w:w="4320"/>
          </w:tcPr>
          <w:p>
            <w:r>
              <w:t>Frecuencia</w:t>
            </w:r>
          </w:p>
        </w:tc>
        <w:tc>
          <w:tcPr>
            <w:tcW w:type="dxa" w:w="4320"/>
          </w:tcPr>
          <w:p>
            <w:r>
              <w:t>1 a 4 análisis anuales</w:t>
            </w:r>
          </w:p>
        </w:tc>
      </w:tr>
      <w:tr>
        <w:tc>
          <w:tcPr>
            <w:tcW w:type="dxa" w:w="4320"/>
          </w:tcPr>
          <w:p>
            <w:r>
              <w:t>Duración</w:t>
            </w:r>
          </w:p>
        </w:tc>
        <w:tc>
          <w:tcPr>
            <w:tcW w:type="dxa" w:w="4320"/>
          </w:tcPr>
          <w:p>
            <w:r>
              <w:t>3 años</w:t>
            </w:r>
          </w:p>
        </w:tc>
      </w:tr>
    </w:tbl>
    <w:p>
      <w:pPr>
        <w:pStyle w:val="Heading2"/>
      </w:pPr>
      <w:r>
        <w:t>Logística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Origen</w:t>
            </w:r>
          </w:p>
        </w:tc>
        <w:tc>
          <w:tcPr>
            <w:tcW w:type="dxa" w:w="4320"/>
          </w:tcPr>
          <w:p>
            <w:r>
              <w:t>Cliente entrega en laboratorio seleccionado</w:t>
            </w:r>
          </w:p>
        </w:tc>
      </w:tr>
      <w:tr>
        <w:tc>
          <w:tcPr>
            <w:tcW w:type="dxa" w:w="4320"/>
          </w:tcPr>
          <w:p>
            <w:r>
              <w:t>Destino</w:t>
            </w:r>
          </w:p>
        </w:tc>
        <w:tc>
          <w:tcPr>
            <w:tcW w:type="dxa" w:w="4320"/>
          </w:tcPr>
          <w:p>
            <w:r>
              <w:t>Laboratorio adjudicado en Perú</w:t>
            </w:r>
          </w:p>
        </w:tc>
      </w:tr>
      <w:tr>
        <w:tc>
          <w:tcPr>
            <w:tcW w:type="dxa" w:w="4320"/>
          </w:tcPr>
          <w:p>
            <w:r>
              <w:t>Responsable de transporte</w:t>
            </w:r>
          </w:p>
        </w:tc>
        <w:tc>
          <w:tcPr>
            <w:tcW w:type="dxa" w:w="4320"/>
          </w:tcPr>
          <w:p>
            <w:r>
              <w:t>Cliente entrega muestra en laboratorio</w:t>
            </w:r>
          </w:p>
        </w:tc>
      </w:tr>
      <w:tr>
        <w:tc>
          <w:tcPr>
            <w:tcW w:type="dxa" w:w="4320"/>
          </w:tcPr>
          <w:p>
            <w:r>
              <w:t>Responsable de costos logísticos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  <w:tr>
        <w:tc>
          <w:tcPr>
            <w:tcW w:type="dxa" w:w="4320"/>
          </w:tcPr>
          <w:p>
            <w:r>
              <w:t>Condiciones especiales</w:t>
            </w:r>
          </w:p>
        </w:tc>
        <w:tc>
          <w:tcPr>
            <w:tcW w:type="dxa" w:w="4320"/>
          </w:tcPr>
          <w:p>
            <w:r>
              <w:t>Laboratorio debe estar certificado por INCAL (National Quality Institute, Peru). Experiencia mínima: más de 3 años de funcionamiento con licencias locales, ISO, OSHA. Tipo de muestra: semisólida/sólida obtenida de gasoductos de industria petrolera. Reporte en español</w:t>
            </w:r>
          </w:p>
        </w:tc>
      </w:tr>
    </w:tbl>
    <w:p>
      <w:pPr>
        <w:pStyle w:val="Heading2"/>
      </w:pPr>
      <w:r>
        <w:t>Cronograma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Fecha límite de consultas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  <w:tr>
        <w:tc>
          <w:tcPr>
            <w:tcW w:type="dxa" w:w="4320"/>
          </w:tcPr>
          <w:p>
            <w:r>
              <w:t>Fecha de presentación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  <w:tr>
        <w:tc>
          <w:tcPr>
            <w:tcW w:type="dxa" w:w="4320"/>
          </w:tcPr>
          <w:p>
            <w:r>
              <w:t>Periodo de evaluación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  <w:tr>
        <w:tc>
          <w:tcPr>
            <w:tcW w:type="dxa" w:w="4320"/>
          </w:tcPr>
          <w:p>
            <w:r>
              <w:t>Fecha esperada de adjudicación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  <w:tr>
        <w:tc>
          <w:tcPr>
            <w:tcW w:type="dxa" w:w="4320"/>
          </w:tcPr>
          <w:p>
            <w:r>
              <w:t>Vigencia de la propuesta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</w:tbl>
    <w:p>
      <w:pPr>
        <w:pStyle w:val="Heading2"/>
      </w:pPr>
      <w:r>
        <w:t>Información económica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Monto ofertado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  <w:tr>
        <w:tc>
          <w:tcPr>
            <w:tcW w:type="dxa" w:w="4320"/>
          </w:tcPr>
          <w:p>
            <w:r>
              <w:t>Precio unitario referencia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  <w:tr>
        <w:tc>
          <w:tcPr>
            <w:tcW w:type="dxa" w:w="4320"/>
          </w:tcPr>
          <w:p>
            <w:r>
              <w:t>Valor potencial total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</w:tbl>
    <w:p>
      <w:pPr>
        <w:pStyle w:val="Heading2"/>
      </w:pPr>
      <w:r>
        <w:t>Resultado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Resultado</w:t>
            </w:r>
          </w:p>
        </w:tc>
        <w:tc>
          <w:tcPr>
            <w:tcW w:type="dxa" w:w="4320"/>
          </w:tcPr>
          <w:p>
            <w:r>
              <w:t>en_evaluacion</w:t>
            </w:r>
          </w:p>
        </w:tc>
      </w:tr>
      <w:tr>
        <w:tc>
          <w:tcPr>
            <w:tcW w:type="dxa" w:w="4320"/>
          </w:tcPr>
          <w:p>
            <w:r>
              <w:t>Competidor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  <w:tr>
        <w:tc>
          <w:tcPr>
            <w:tcW w:type="dxa" w:w="4320"/>
          </w:tcPr>
          <w:p>
            <w:r>
              <w:t>Motivo de pérdida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