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Credenciales corporativas — Bureau Veritas</w:t>
      </w:r>
    </w:p>
    <w:p>
      <w:r>
        <w:t>Para la propuesta de LIC-2026-08-005</w:t>
      </w:r>
    </w:p>
    <w:p>
      <w:pPr>
        <w:pStyle w:val="Heading2"/>
      </w:pPr>
      <w:r>
        <w:t>PRESENCIA GLOBAL</w:t>
      </w:r>
    </w:p>
    <w:p>
      <w:r>
        <w:t>Red de aproximadamente 1,600 oficinas y laboratorios en 140 países, con más de 83,000 empleados.</w:t>
      </w:r>
    </w:p>
    <w:p>
      <w:pPr>
        <w:pStyle w:val="Heading2"/>
      </w:pPr>
      <w:r>
        <w:t>SISTEMA DE GESTIÓN Y ACREDITACIONES</w:t>
      </w:r>
    </w:p>
    <w:p>
      <w:r>
        <w:t>Laboratorio acreditado bajo la norma ISO/IEC 17025 (última actualización) y sistema de gestión ISO 9001.</w:t>
      </w:r>
    </w:p>
    <w:p>
      <w:pPr>
        <w:pStyle w:val="Heading2"/>
      </w:pPr>
      <w: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pPr>
        <w:pStyle w:val="Heading2"/>
      </w:pPr>
      <w: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