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Ficha de licitación — LIC-2026-08-002</w:t>
      </w:r>
    </w:p>
    <w:p>
      <w:pPr>
        <w:pStyle w:val="Heading2"/>
      </w:pPr>
      <w:r>
        <w:t>Identificación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Código</w:t>
            </w:r>
          </w:p>
        </w:tc>
        <w:tc>
          <w:tcPr>
            <w:tcW w:type="dxa" w:w="4320"/>
          </w:tcPr>
          <w:p>
            <w:r>
              <w:t>LIC-2026-08-002</w:t>
            </w:r>
          </w:p>
        </w:tc>
      </w:tr>
      <w:tr>
        <w:tc>
          <w:tcPr>
            <w:tcW w:type="dxa" w:w="4320"/>
          </w:tcPr>
          <w:p>
            <w:r>
              <w:t>Cliente</w:t>
            </w:r>
          </w:p>
        </w:tc>
        <w:tc>
          <w:tcPr>
            <w:tcW w:type="dxa" w:w="4320"/>
          </w:tcPr>
          <w:p>
            <w:r>
              <w:t>— sin asignar —</w:t>
            </w:r>
          </w:p>
        </w:tc>
      </w:tr>
      <w:tr>
        <w:tc>
          <w:tcPr>
            <w:tcW w:type="dxa" w:w="4320"/>
          </w:tcPr>
          <w:p>
            <w:r>
              <w:t>Plataforma</w:t>
            </w:r>
          </w:p>
        </w:tc>
        <w:tc>
          <w:tcPr>
            <w:tcW w:type="dxa" w:w="4320"/>
          </w:tcPr>
          <w:p>
            <w:r>
              <w:t>correo</w:t>
            </w:r>
          </w:p>
        </w:tc>
      </w:tr>
      <w:tr>
        <w:tc>
          <w:tcPr>
            <w:tcW w:type="dxa" w:w="4320"/>
          </w:tcPr>
          <w:p>
            <w:r>
              <w:t>Responsable</w:t>
            </w:r>
          </w:p>
        </w:tc>
        <w:tc>
          <w:tcPr>
            <w:tcW w:type="dxa" w:w="4320"/>
          </w:tcPr>
          <w:p>
            <w:r>
              <w:t>Adrian</w:t>
            </w:r>
          </w:p>
        </w:tc>
      </w:tr>
      <w:tr>
        <w:tc>
          <w:tcPr>
            <w:tcW w:type="dxa" w:w="4320"/>
          </w:tcPr>
          <w:p>
            <w:r>
              <w:t>Estado</w:t>
            </w:r>
          </w:p>
        </w:tc>
        <w:tc>
          <w:tcPr>
            <w:tcW w:type="dxa" w:w="4320"/>
          </w:tcPr>
          <w:p>
            <w:r>
              <w:t>en_analisis</w:t>
            </w:r>
          </w:p>
        </w:tc>
      </w:tr>
      <w:tr>
        <w:tc>
          <w:tcPr>
            <w:tcW w:type="dxa" w:w="4320"/>
          </w:tcPr>
          <w:p>
            <w:r>
              <w:t>Fecha de recepción</w:t>
            </w:r>
          </w:p>
        </w:tc>
        <w:tc>
          <w:tcPr>
            <w:tcW w:type="dxa" w:w="4320"/>
          </w:tcPr>
          <w:p>
            <w:r>
              <w:t>2026-08-31</w:t>
            </w:r>
          </w:p>
        </w:tc>
      </w:tr>
    </w:tbl>
    <w:p>
      <w:pPr>
        <w:pStyle w:val="Heading2"/>
      </w:pPr>
      <w:r>
        <w:t>Requerimiento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Servicio</w:t>
            </w:r>
          </w:p>
        </w:tc>
        <w:tc>
          <w:tcPr>
            <w:tcW w:type="dxa" w:w="4320"/>
          </w:tcPr>
          <w:p>
            <w:r>
              <w:t>Análisis de laboratorio especializados: difracción de rayos X (DRX), microscopía electrónica (EDS/ME), y análisis fisicoquímicos de muestras de crudo y agua</w:t>
            </w:r>
          </w:p>
        </w:tc>
      </w:tr>
      <w:tr>
        <w:tc>
          <w:tcPr>
            <w:tcW w:type="dxa" w:w="4320"/>
          </w:tcPr>
          <w:p>
            <w:r>
              <w:t>Métodos solicitados</w:t>
            </w:r>
          </w:p>
        </w:tc>
        <w:tc>
          <w:tcPr>
            <w:tcW w:type="dxa" w:w="4320"/>
          </w:tcPr>
          <w:p>
            <w:r>
              <w:t>DRX (difracción de rayos X), EDS (microscopía electrónica), análisis fisicoquímicos - metodología estándar certificada</w:t>
            </w:r>
          </w:p>
        </w:tc>
      </w:tr>
      <w:tr>
        <w:tc>
          <w:tcPr>
            <w:tcW w:type="dxa" w:w="4320"/>
          </w:tcPr>
          <w:p>
            <w:r>
              <w:t>Cantidades / volumen</w:t>
            </w:r>
          </w:p>
        </w:tc>
        <w:tc>
          <w:tcPr>
            <w:tcW w:type="dxa" w:w="4320"/>
          </w:tcPr>
          <w:p>
            <w:r>
              <w:t>1 a 4 análisis anuales, muestra referencial de 3-5 gramos</w:t>
            </w:r>
          </w:p>
        </w:tc>
      </w:tr>
      <w:tr>
        <w:tc>
          <w:tcPr>
            <w:tcW w:type="dxa" w:w="4320"/>
          </w:tcPr>
          <w:p>
            <w:r>
              <w:t>Analitos</w:t>
            </w:r>
          </w:p>
        </w:tc>
        <w:tc>
          <w:tcPr>
            <w:tcW w:type="dxa" w:w="4320"/>
          </w:tcPr>
          <w:p>
            <w:r>
              <w:t>Muestras semisólidas/sólidas obtenidas de gasoductos de industria petrolera (crudo y agua)</w:t>
            </w:r>
          </w:p>
        </w:tc>
      </w:tr>
      <w:tr>
        <w:tc>
          <w:tcPr>
            <w:tcW w:type="dxa" w:w="4320"/>
          </w:tcPr>
          <w:p>
            <w:r>
              <w:t>TAT</w:t>
            </w:r>
          </w:p>
        </w:tc>
        <w:tc>
          <w:tcPr>
            <w:tcW w:type="dxa" w:w="4320"/>
          </w:tcPr>
          <w:p>
            <w:r>
              <w:t>15-20 días</w:t>
            </w:r>
          </w:p>
        </w:tc>
      </w:tr>
      <w:tr>
        <w:tc>
          <w:tcPr>
            <w:tcW w:type="dxa" w:w="4320"/>
          </w:tcPr>
          <w:p>
            <w:r>
              <w:t>Límites de detección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Frecuencia</w:t>
            </w:r>
          </w:p>
        </w:tc>
        <w:tc>
          <w:tcPr>
            <w:tcW w:type="dxa" w:w="4320"/>
          </w:tcPr>
          <w:p>
            <w:r>
              <w:t>1 a 4 análisis anuales</w:t>
            </w:r>
          </w:p>
        </w:tc>
      </w:tr>
      <w:tr>
        <w:tc>
          <w:tcPr>
            <w:tcW w:type="dxa" w:w="4320"/>
          </w:tcPr>
          <w:p>
            <w:r>
              <w:t>Duración</w:t>
            </w:r>
          </w:p>
        </w:tc>
        <w:tc>
          <w:tcPr>
            <w:tcW w:type="dxa" w:w="4320"/>
          </w:tcPr>
          <w:p>
            <w:r>
              <w:t>3 años</w:t>
            </w:r>
          </w:p>
        </w:tc>
      </w:tr>
    </w:tbl>
    <w:p>
      <w:pPr>
        <w:pStyle w:val="Heading2"/>
      </w:pPr>
      <w:r>
        <w:t>Logística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Origen</w:t>
            </w:r>
          </w:p>
        </w:tc>
        <w:tc>
          <w:tcPr>
            <w:tcW w:type="dxa" w:w="4320"/>
          </w:tcPr>
          <w:p>
            <w:r>
              <w:t>Cliente entrega en laboratorio seleccionado</w:t>
            </w:r>
          </w:p>
        </w:tc>
      </w:tr>
      <w:tr>
        <w:tc>
          <w:tcPr>
            <w:tcW w:type="dxa" w:w="4320"/>
          </w:tcPr>
          <w:p>
            <w:r>
              <w:t>Destino</w:t>
            </w:r>
          </w:p>
        </w:tc>
        <w:tc>
          <w:tcPr>
            <w:tcW w:type="dxa" w:w="4320"/>
          </w:tcPr>
          <w:p>
            <w:r>
              <w:t>Instalaciones del proveedor - Laboratorio en Perú</w:t>
            </w:r>
          </w:p>
        </w:tc>
      </w:tr>
      <w:tr>
        <w:tc>
          <w:tcPr>
            <w:tcW w:type="dxa" w:w="4320"/>
          </w:tcPr>
          <w:p>
            <w:r>
              <w:t>Responsable de transporte</w:t>
            </w:r>
          </w:p>
        </w:tc>
        <w:tc>
          <w:tcPr>
            <w:tcW w:type="dxa" w:w="4320"/>
          </w:tcPr>
          <w:p>
            <w:r>
              <w:t>Cliente entrega muestra en laboratorio</w:t>
            </w:r>
          </w:p>
        </w:tc>
      </w:tr>
      <w:tr>
        <w:tc>
          <w:tcPr>
            <w:tcW w:type="dxa" w:w="4320"/>
          </w:tcPr>
          <w:p>
            <w:r>
              <w:t>Responsable de costos logísticos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Condiciones especiales</w:t>
            </w:r>
          </w:p>
        </w:tc>
        <w:tc>
          <w:tcPr>
            <w:tcW w:type="dxa" w:w="4320"/>
          </w:tcPr>
          <w:p>
            <w:r>
              <w:t>Laboratorio debe estar certificado por INCAL (National Quality Institute, Peru), experiencia mínima de 3 años de funcionamiento, contar con licencias locales, ISO, OSHA. Requisitos de cadena de custodia y trazabilidad. Reporte en idioma español</w:t>
            </w:r>
          </w:p>
        </w:tc>
      </w:tr>
    </w:tbl>
    <w:p>
      <w:pPr>
        <w:pStyle w:val="Heading2"/>
      </w:pPr>
      <w:r>
        <w:t>Cronograma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Fecha límite de consultas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de presentación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Periodo de evaluación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esperada de adjudicación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Vigencia de la propuesta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Información económica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Monto ofertado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Precio unitario referencia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Valor potencial total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Resultado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Resultado</w:t>
            </w:r>
          </w:p>
        </w:tc>
        <w:tc>
          <w:tcPr>
            <w:tcW w:type="dxa" w:w="4320"/>
          </w:tcPr>
          <w:p>
            <w:r>
              <w:t>en_evaluacion</w:t>
            </w:r>
          </w:p>
        </w:tc>
      </w:tr>
      <w:tr>
        <w:tc>
          <w:tcPr>
            <w:tcW w:type="dxa" w:w="4320"/>
          </w:tcPr>
          <w:p>
            <w:r>
              <w:t>Competidor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Motivo de pérdida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