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COT-2026-09-002</w:t>
      </w:r>
    </w:p>
    <w:p>
      <w:r>
        <w:rPr>
          <w:b/>
        </w:rPr>
        <w:t>Cliente: Compañía Minera Andes (prospecto)</w:t>
        <w:br/>
      </w:r>
      <w:r>
        <w:t>Fecha: 2026-09-02    Vigencia: 30 días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Código</w:t>
            </w:r>
          </w:p>
        </w:tc>
        <w:tc>
          <w:tcPr>
            <w:tcW w:type="dxa" w:w="1728"/>
          </w:tcPr>
          <w:p>
            <w:r>
              <w:t>Analitos</w:t>
            </w:r>
          </w:p>
        </w:tc>
        <w:tc>
          <w:tcPr>
            <w:tcW w:type="dxa" w:w="1728"/>
          </w:tcPr>
          <w:p>
            <w:r>
              <w:t>Límite de detección</w:t>
            </w:r>
          </w:p>
        </w:tc>
        <w:tc>
          <w:tcPr>
            <w:tcW w:type="dxa" w:w="1728"/>
          </w:tcPr>
          <w:p>
            <w:r>
              <w:t>Sobrelímite</w:t>
            </w:r>
          </w:p>
        </w:tc>
        <w:tc>
          <w:tcPr>
            <w:tcW w:type="dxa" w:w="1728"/>
          </w:tcPr>
          <w:p>
            <w:r>
              <w:t>Condiciones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