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Propuesta técnica — COT-2026-08-001</w:t>
      </w:r>
    </w:p>
    <w:p>
      <w:r>
        <w:rPr>
          <w:b/>
        </w:rPr>
        <w:t>Cliente: Compañía Minera Los Andes</w:t>
        <w:br/>
      </w:r>
      <w:r>
        <w:t>Fecha: 2026-08-07    Vigencia: 30 días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Código</w:t>
            </w:r>
          </w:p>
        </w:tc>
        <w:tc>
          <w:tcPr>
            <w:tcW w:type="dxa" w:w="1728"/>
          </w:tcPr>
          <w:p>
            <w:r>
              <w:t>Analitos</w:t>
            </w:r>
          </w:p>
        </w:tc>
        <w:tc>
          <w:tcPr>
            <w:tcW w:type="dxa" w:w="1728"/>
          </w:tcPr>
          <w:p>
            <w:r>
              <w:t>Límite de detección</w:t>
            </w:r>
          </w:p>
        </w:tc>
        <w:tc>
          <w:tcPr>
            <w:tcW w:type="dxa" w:w="1728"/>
          </w:tcPr>
          <w:p>
            <w:r>
              <w:t>Sobrelímite</w:t>
            </w:r>
          </w:p>
        </w:tc>
        <w:tc>
          <w:tcPr>
            <w:tcW w:type="dxa" w:w="1728"/>
          </w:tcPr>
          <w:p>
            <w:r>
              <w:t>Condiciones</w:t>
            </w:r>
          </w:p>
        </w:tc>
      </w:tr>
      <w:tr>
        <w:tc>
          <w:tcPr>
            <w:tcW w:type="dxa" w:w="1728"/>
          </w:tcPr>
          <w:p>
            <w:r>
              <w:t>ICP-MS41</w:t>
            </w:r>
          </w:p>
        </w:tc>
        <w:tc>
          <w:tcPr>
            <w:tcW w:type="dxa" w:w="1728"/>
          </w:tcPr>
          <w:p>
            <w:r>
              <w:t>Au,Ag,Cu,Pb,Zn,As,Mo,Sb,...</w:t>
            </w:r>
          </w:p>
        </w:tc>
        <w:tc>
          <w:tcPr>
            <w:tcW w:type="dxa" w:w="1728"/>
          </w:tcPr>
          <w:p>
            <w:r>
              <w:t>0.001-100 ppm (según analito)</w:t>
            </w:r>
          </w:p>
        </w:tc>
        <w:tc>
          <w:tcPr>
            <w:tcW w:type="dxa" w:w="1728"/>
          </w:tcPr>
          <w:p>
            <w:r>
              <w:t>S/ 15.00</w:t>
            </w:r>
          </w:p>
        </w:tc>
        <w:tc>
          <w:tcPr>
            <w:tcW w:type="dxa" w:w="1728"/>
          </w:tcPr>
          <w:p>
            <w:r>
              <w:t>Requiere digestión multiácida</w:t>
            </w:r>
          </w:p>
        </w:tc>
      </w:tr>
      <w:tr>
        <w:tc>
          <w:tcPr>
            <w:tcW w:type="dxa" w:w="1728"/>
          </w:tcPr>
          <w:p>
            <w:r>
              <w:t>FA-AU</w:t>
            </w:r>
          </w:p>
        </w:tc>
        <w:tc>
          <w:tcPr>
            <w:tcW w:type="dxa" w:w="1728"/>
          </w:tcPr>
          <w:p>
            <w:r>
              <w:t>Au</w:t>
            </w:r>
          </w:p>
        </w:tc>
        <w:tc>
          <w:tcPr>
            <w:tcW w:type="dxa" w:w="1728"/>
          </w:tcPr>
          <w:p>
            <w:r>
              <w:t>0.005 ppm</w:t>
            </w:r>
          </w:p>
        </w:tc>
        <w:tc>
          <w:tcPr>
            <w:tcW w:type="dxa" w:w="1728"/>
          </w:tcPr>
          <w:p>
            <w:r>
              <w:t>S/ 10.00</w:t>
            </w:r>
          </w:p>
        </w:tc>
        <w:tc>
          <w:tcPr>
            <w:tcW w:type="dxa" w:w="1728"/>
          </w:tcPr>
          <w:p>
            <w:r>
              <w:t>Muestra mínima 30g</w:t>
            </w:r>
          </w:p>
        </w:tc>
      </w:tr>
    </w:tbl>
    <w:p/>
    <w:p>
      <w:r>
        <w:rPr>
          <w:sz w:val="24"/>
        </w:rPr>
        <w:t>Total sin IGV: S/ 32800.00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